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B5" w:rsidRPr="00367EF4" w:rsidRDefault="005937B5" w:rsidP="005937B5">
      <w:pPr>
        <w:shd w:val="clear" w:color="auto" w:fill="FFFFFF"/>
        <w:jc w:val="center"/>
        <w:rPr>
          <w:rFonts w:cs="Calibri"/>
          <w:b/>
          <w:sz w:val="28"/>
          <w:szCs w:val="28"/>
        </w:rPr>
      </w:pPr>
      <w:r w:rsidRPr="00367EF4">
        <w:rPr>
          <w:rFonts w:cs="Calibri"/>
          <w:b/>
          <w:sz w:val="28"/>
          <w:szCs w:val="28"/>
        </w:rPr>
        <w:t>Требования к составлению меню для организации питания</w:t>
      </w:r>
    </w:p>
    <w:p w:rsidR="005937B5" w:rsidRPr="00367EF4" w:rsidRDefault="005937B5" w:rsidP="005937B5">
      <w:pPr>
        <w:jc w:val="center"/>
        <w:rPr>
          <w:rFonts w:cs="Calibri"/>
          <w:b/>
          <w:sz w:val="28"/>
          <w:szCs w:val="28"/>
        </w:rPr>
      </w:pPr>
      <w:r w:rsidRPr="00367EF4">
        <w:rPr>
          <w:rFonts w:cs="Calibri"/>
          <w:b/>
          <w:sz w:val="28"/>
          <w:szCs w:val="28"/>
        </w:rPr>
        <w:t>детей разного возраста</w:t>
      </w:r>
    </w:p>
    <w:p w:rsidR="005937B5" w:rsidRPr="00BE066D" w:rsidRDefault="005937B5" w:rsidP="005937B5">
      <w:pPr>
        <w:jc w:val="center"/>
        <w:rPr>
          <w:rFonts w:cs="Calibri"/>
          <w:sz w:val="28"/>
          <w:szCs w:val="28"/>
        </w:rPr>
      </w:pP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1.</w:t>
      </w: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Pr="00BE066D" w:rsidRDefault="005937B5" w:rsidP="005937B5">
      <w:pPr>
        <w:jc w:val="right"/>
        <w:outlineLvl w:val="2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Таблица 1</w:t>
      </w:r>
    </w:p>
    <w:p w:rsidR="005937B5" w:rsidRPr="00BE066D" w:rsidRDefault="005937B5" w:rsidP="005937B5">
      <w:pPr>
        <w:jc w:val="center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Нормы физиологических потребностей в энергии и пищевых</w:t>
      </w:r>
    </w:p>
    <w:p w:rsidR="005937B5" w:rsidRPr="00BE066D" w:rsidRDefault="005937B5" w:rsidP="005937B5">
      <w:pPr>
        <w:jc w:val="center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веществах для детей возрастных групп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99"/>
        <w:gridCol w:w="1190"/>
        <w:gridCol w:w="1190"/>
        <w:gridCol w:w="1071"/>
        <w:gridCol w:w="1190"/>
        <w:gridCol w:w="1309"/>
        <w:gridCol w:w="1190"/>
      </w:tblGrid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0 - 3  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7 - 12 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 мес.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1 - 2  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   г. 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1443B1"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3 - 7  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Энергия (ккал)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1200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1400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1800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Белок, г      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36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42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54 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в т.ч. животный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(%)           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70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65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5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г/кг массы    </w:t>
            </w:r>
            <w:r w:rsidRPr="001443B1"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2,2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2,6 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2,9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Жиры, г       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Углеводы, г   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hyperlink w:anchor="Par634" w:history="1">
              <w:r w:rsidRPr="001443B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174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203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261   </w:t>
            </w:r>
          </w:p>
        </w:tc>
      </w:tr>
    </w:tbl>
    <w:p w:rsidR="005937B5" w:rsidRDefault="005937B5" w:rsidP="005937B5">
      <w:pPr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Примечание: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bookmarkStart w:id="0" w:name="Par634"/>
      <w:bookmarkEnd w:id="0"/>
      <w:r w:rsidRPr="00BE066D">
        <w:rPr>
          <w:rFonts w:cs="Calibri"/>
          <w:sz w:val="24"/>
          <w:szCs w:val="24"/>
        </w:rPr>
        <w:t>&lt;*&gt; Потребности для детей первого года жизни в энергии, жирах, углеводах даны в расчете г/кг массы тела.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bookmarkStart w:id="1" w:name="Par635"/>
      <w:bookmarkEnd w:id="1"/>
      <w:r w:rsidRPr="00BE066D">
        <w:rPr>
          <w:rFonts w:cs="Calibri"/>
          <w:sz w:val="24"/>
          <w:szCs w:val="24"/>
        </w:rPr>
        <w:t>&lt;**&gt; Потребности для детей первого года жизни, находящихся на искусственном вскармливании.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proofErr w:type="spellStart"/>
      <w:r w:rsidRPr="00BE066D">
        <w:rPr>
          <w:rFonts w:cs="Calibri"/>
          <w:sz w:val="24"/>
          <w:szCs w:val="24"/>
        </w:rPr>
        <w:t>Перетаривание</w:t>
      </w:r>
      <w:proofErr w:type="spellEnd"/>
      <w:r w:rsidRPr="00BE066D">
        <w:rPr>
          <w:rFonts w:cs="Calibri"/>
          <w:sz w:val="24"/>
          <w:szCs w:val="24"/>
        </w:rPr>
        <w:t xml:space="preserve"> готовой кулинарной продукции и блюд не допускается.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2.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</w:p>
    <w:p w:rsidR="005937B5" w:rsidRPr="00BE066D" w:rsidRDefault="005937B5" w:rsidP="005937B5">
      <w:pPr>
        <w:jc w:val="right"/>
        <w:outlineLvl w:val="2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Таблица 2</w:t>
      </w:r>
    </w:p>
    <w:p w:rsidR="005937B5" w:rsidRPr="00BE066D" w:rsidRDefault="005937B5" w:rsidP="005937B5">
      <w:pPr>
        <w:jc w:val="center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Рекомендуемое распределение калорийности между приемами пищи в %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Для детей с       │   Для детей с    │     Для детей с дневным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круглосуточным     │     дневным      │     пребыванием 12 час.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пребыванием       │ пребыванием 8 -  │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10 час.      │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│Завтрак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(20 - 25%)      </w:t>
      </w:r>
      <w:proofErr w:type="spellStart"/>
      <w:r>
        <w:rPr>
          <w:rFonts w:ascii="Courier New" w:hAnsi="Courier New" w:cs="Courier New"/>
          <w:sz w:val="20"/>
          <w:szCs w:val="20"/>
        </w:rPr>
        <w:t>│завтрак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(20 - 25%)</w:t>
      </w:r>
      <w:proofErr w:type="spellStart"/>
      <w:r>
        <w:rPr>
          <w:rFonts w:ascii="Courier New" w:hAnsi="Courier New" w:cs="Courier New"/>
          <w:sz w:val="20"/>
          <w:szCs w:val="20"/>
        </w:rPr>
        <w:t>│завтрак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(20 - 25%)  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завтрак (5%)          │2 завтрак (5%)    │2 завтрак (5%)      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│Обед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(30 - 35%)         </w:t>
      </w:r>
      <w:proofErr w:type="spellStart"/>
      <w:r>
        <w:rPr>
          <w:rFonts w:ascii="Courier New" w:hAnsi="Courier New" w:cs="Courier New"/>
          <w:sz w:val="20"/>
          <w:szCs w:val="20"/>
        </w:rPr>
        <w:t>│обед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(30 - 35%)   </w:t>
      </w:r>
      <w:proofErr w:type="spellStart"/>
      <w:r>
        <w:rPr>
          <w:rFonts w:ascii="Courier New" w:hAnsi="Courier New" w:cs="Courier New"/>
          <w:sz w:val="20"/>
          <w:szCs w:val="20"/>
        </w:rPr>
        <w:t>│обед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(30 - 35%)     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│Полдник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(10 - 15%)      </w:t>
      </w:r>
      <w:proofErr w:type="spellStart"/>
      <w:r>
        <w:rPr>
          <w:rFonts w:ascii="Courier New" w:hAnsi="Courier New" w:cs="Courier New"/>
          <w:sz w:val="20"/>
          <w:szCs w:val="20"/>
        </w:rPr>
        <w:t>│полдник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(10 - 15%)</w:t>
      </w:r>
      <w:proofErr w:type="spellStart"/>
      <w:r>
        <w:rPr>
          <w:rFonts w:ascii="Courier New" w:hAnsi="Courier New" w:cs="Courier New"/>
          <w:sz w:val="20"/>
          <w:szCs w:val="20"/>
        </w:rPr>
        <w:t>│Полдник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(10 - 15%)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/или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│Ужин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(20 - 25%)         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│уплотненный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полдник (30 -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ужин - (до 5%) -      │                  │35%)                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│дополнительный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прием    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│Ужин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(20 - 25%)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│пищи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перед сном -       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│кисломолочный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напиток с 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>----------------------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" w:name="Par665"/>
      <w:bookmarkEnd w:id="2"/>
      <w:proofErr w:type="spellStart"/>
      <w:r>
        <w:rPr>
          <w:rFonts w:ascii="Courier New" w:hAnsi="Courier New" w:cs="Courier New"/>
          <w:sz w:val="20"/>
          <w:szCs w:val="20"/>
        </w:rPr>
        <w:t>│булочным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или мучным     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>&lt;*&gt; Вместо полдника и ужина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│кулинарным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изделием     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│возможна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организация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│уплотненного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полдника (30 -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│35%).                        │</w:t>
      </w:r>
    </w:p>
    <w:p w:rsidR="005937B5" w:rsidRDefault="005937B5" w:rsidP="005937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5. Примерное меню должно содержать информацию в соответствии с </w:t>
      </w:r>
      <w:hyperlink w:anchor="Par1545" w:history="1">
        <w:r w:rsidRPr="00BE066D">
          <w:rPr>
            <w:rFonts w:cs="Calibri"/>
            <w:sz w:val="24"/>
            <w:szCs w:val="24"/>
          </w:rPr>
          <w:t xml:space="preserve">Приложением N </w:t>
        </w:r>
      </w:hyperlink>
      <w:r w:rsidRPr="00BE066D">
        <w:rPr>
          <w:rFonts w:cs="Calibri"/>
          <w:sz w:val="24"/>
          <w:szCs w:val="24"/>
        </w:rPr>
        <w:t>5.1</w:t>
      </w:r>
      <w:r w:rsidRPr="00BE066D">
        <w:rPr>
          <w:rFonts w:cs="Calibri"/>
          <w:color w:val="4472C4"/>
          <w:sz w:val="24"/>
          <w:szCs w:val="24"/>
        </w:rPr>
        <w:t>.</w:t>
      </w:r>
      <w:r w:rsidRPr="00BE066D">
        <w:rPr>
          <w:rFonts w:cs="Calibri"/>
          <w:sz w:val="24"/>
          <w:szCs w:val="24"/>
        </w:rPr>
        <w:t xml:space="preserve">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5937B5" w:rsidRPr="00BE066D" w:rsidRDefault="005937B5" w:rsidP="005937B5">
      <w:pPr>
        <w:ind w:firstLine="540"/>
        <w:jc w:val="both"/>
        <w:rPr>
          <w:rFonts w:cs="Calibri"/>
          <w:color w:val="0070C0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196" w:history="1">
        <w:r w:rsidRPr="00BE066D">
          <w:rPr>
            <w:rFonts w:cs="Calibri"/>
            <w:sz w:val="24"/>
            <w:szCs w:val="24"/>
          </w:rPr>
          <w:t xml:space="preserve">Приложению N </w:t>
        </w:r>
      </w:hyperlink>
      <w:r w:rsidRPr="00BE066D">
        <w:rPr>
          <w:rFonts w:cs="Calibri"/>
          <w:sz w:val="24"/>
          <w:szCs w:val="24"/>
        </w:rPr>
        <w:t>5.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Фактический рацион питания должен соответствовать утвержденному примерному меню.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или крупяных запеканок и блюд. Ужин может включать рыбные, мясные, овощные и творожные блюда, творожных салаты, винегреты и горячие напитки. На второй ужин рекомендуется выдавать кисломолочные напитки.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Суммарные объемы блюд по приемам пищи должны соответствовать </w:t>
      </w:r>
      <w:hyperlink w:anchor="Par1607" w:history="1">
        <w:r w:rsidRPr="00BE066D">
          <w:rPr>
            <w:rFonts w:cs="Calibri"/>
            <w:sz w:val="24"/>
            <w:szCs w:val="24"/>
          </w:rPr>
          <w:t>таблице</w:t>
        </w:r>
      </w:hyperlink>
      <w:r w:rsidRPr="00BE066D">
        <w:rPr>
          <w:rFonts w:cs="Calibri"/>
          <w:sz w:val="24"/>
          <w:szCs w:val="24"/>
        </w:rPr>
        <w:t xml:space="preserve"> 3</w:t>
      </w:r>
    </w:p>
    <w:p w:rsidR="005937B5" w:rsidRPr="00BE066D" w:rsidRDefault="005937B5" w:rsidP="005937B5">
      <w:pPr>
        <w:jc w:val="right"/>
        <w:outlineLvl w:val="2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Таблица 3</w:t>
      </w:r>
    </w:p>
    <w:p w:rsidR="005937B5" w:rsidRPr="00BE066D" w:rsidRDefault="005937B5" w:rsidP="005937B5">
      <w:pPr>
        <w:jc w:val="center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СУММАРНЫЕ ОБЪЕМЫ БЛЮД ПО ПРИЕМАМ ПИЩИ (В ГРАММАХ)</w:t>
      </w:r>
    </w:p>
    <w:p w:rsidR="005937B5" w:rsidRPr="00BE066D" w:rsidRDefault="005937B5" w:rsidP="005937B5">
      <w:pPr>
        <w:jc w:val="center"/>
        <w:rPr>
          <w:rFonts w:cs="Calibri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1666"/>
        <w:gridCol w:w="1547"/>
        <w:gridCol w:w="1547"/>
        <w:gridCol w:w="1547"/>
      </w:tblGrid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  Возраст детей    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Завтрак 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Обед  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Полдник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Ужин   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от 1 года до 3-х лет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350 - 450  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450 - 550 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200 - 250 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400 - 500 </w:t>
            </w:r>
          </w:p>
        </w:tc>
      </w:tr>
      <w:tr w:rsidR="005937B5" w:rsidRPr="001443B1" w:rsidTr="00F42F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  от 3-х до 7-ми лет 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400 - 550  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600 - 800 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250 - 350 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1443B1" w:rsidRDefault="005937B5" w:rsidP="00F42F5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443B1">
              <w:rPr>
                <w:rFonts w:ascii="Courier New" w:hAnsi="Courier New" w:cs="Courier New"/>
                <w:sz w:val="20"/>
                <w:szCs w:val="20"/>
              </w:rPr>
              <w:t xml:space="preserve"> 450 - 600 </w:t>
            </w:r>
          </w:p>
        </w:tc>
      </w:tr>
    </w:tbl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lastRenderedPageBreak/>
        <w:t xml:space="preserve">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624" w:history="1">
        <w:r w:rsidRPr="00BE066D">
          <w:rPr>
            <w:rFonts w:cs="Calibri"/>
            <w:sz w:val="24"/>
            <w:szCs w:val="24"/>
          </w:rPr>
          <w:t xml:space="preserve">(см. </w:t>
        </w:r>
        <w:proofErr w:type="spellStart"/>
        <w:r w:rsidRPr="00BE066D">
          <w:rPr>
            <w:rFonts w:cs="Calibri"/>
            <w:sz w:val="24"/>
            <w:szCs w:val="24"/>
          </w:rPr>
          <w:t>СанПиН</w:t>
        </w:r>
        <w:proofErr w:type="spellEnd"/>
        <w:r w:rsidRPr="00BE066D">
          <w:rPr>
            <w:rFonts w:cs="Calibri"/>
            <w:sz w:val="24"/>
            <w:szCs w:val="24"/>
          </w:rPr>
          <w:t>)</w:t>
        </w:r>
      </w:hyperlink>
      <w:r w:rsidRPr="00BE066D">
        <w:rPr>
          <w:rFonts w:cs="Calibri"/>
          <w:sz w:val="24"/>
          <w:szCs w:val="24"/>
        </w:rPr>
        <w:t>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5937B5" w:rsidRPr="00BE066D" w:rsidRDefault="005937B5" w:rsidP="005937B5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ind w:firstLine="540"/>
        <w:jc w:val="both"/>
        <w:rPr>
          <w:rFonts w:cs="Calibri"/>
        </w:rPr>
      </w:pPr>
    </w:p>
    <w:p w:rsidR="005937B5" w:rsidRDefault="005937B5" w:rsidP="005937B5">
      <w:pPr>
        <w:jc w:val="both"/>
        <w:rPr>
          <w:rFonts w:cs="Calibri"/>
        </w:rPr>
      </w:pPr>
    </w:p>
    <w:p w:rsidR="005937B5" w:rsidRDefault="005937B5" w:rsidP="005937B5">
      <w:pPr>
        <w:jc w:val="both"/>
        <w:rPr>
          <w:rFonts w:cs="Calibri"/>
        </w:rPr>
      </w:pPr>
    </w:p>
    <w:p w:rsidR="005937B5" w:rsidRDefault="005937B5" w:rsidP="005937B5">
      <w:pPr>
        <w:jc w:val="both"/>
        <w:rPr>
          <w:rFonts w:cs="Calibri"/>
        </w:rPr>
      </w:pPr>
    </w:p>
    <w:p w:rsidR="005937B5" w:rsidRDefault="005937B5" w:rsidP="005937B5">
      <w:pPr>
        <w:jc w:val="both"/>
        <w:rPr>
          <w:rFonts w:cs="Calibri"/>
        </w:rPr>
      </w:pPr>
    </w:p>
    <w:p w:rsidR="00C24CB2" w:rsidRDefault="00C24CB2"/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937B5"/>
    <w:rsid w:val="00095185"/>
    <w:rsid w:val="005937B5"/>
    <w:rsid w:val="00C24CB2"/>
    <w:rsid w:val="00D2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937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2016-02-20T10:03:00Z</dcterms:created>
  <dcterms:modified xsi:type="dcterms:W3CDTF">2016-02-20T10:03:00Z</dcterms:modified>
</cp:coreProperties>
</file>